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877 vom 13. Mai 2026</w:t>
      </w:r>
    </w:p>
    <w:p>
      <w:r>
        <w:t>BE Verwaltungsgericht, 2026-05-13, DE</w:t>
      </w:r>
    </w:p>
    <w:p>
      <w:r>
        <w:rPr>
          <w:b/>
        </w:rPr>
        <w:t xml:space="preserve">Quelle: </w:t>
      </w:r>
      <w:r>
        <w:t>https://mcp.opencaselaw.ch/entscheid/be_verwaltungsgericht_200 2025 877</w:t>
      </w:r>
    </w:p>
    <w:p>
      <w:r>
        <w:t>FR: BE_VERWALTUNGSGERICHT 200 2025 877 du 13 mai 2026</w:t>
      </w:r>
    </w:p>
    <w:p>
      <w:r>
        <w:t>IT: BE_VERWALTUNGSGERICHT 200 2025 877 del 13 maggio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November 2025 (act. II 45). Streitig und zu prüfen ist der Anspruch des Beschwerdeführers auf eine Rente der Invalidenversicherung. Soweit sich die Beschwerde vom 7. Dezember 2025 bzw. die Eingaben vom 6. Februar, 3. und 11. März, 8. April sowie 6. Mai 2026 auf Leistungsansprüche beziehen, die ausser- halb des Anfechtungsgegenstandes stehen, bzw. darin zivil-, straf- und aufsichtsrechtliche Anträge gestellt werden, für die das urteilende Gericht funktionell nicht zuständig ist, ist darauf nicht einzutreten (vgl. bereits die prozessleitende Verfügung vom 11. Februar 2026; BGE 131 V 164 E. 2.1 S. 164; SVR 2021 AHV Nr. 21 S. 67, 9C_86/2021 E. 5.2).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In der Eingabe vom 6. Februar 2026 beantragte der Beschwerdeführer die Aufnahme der "bereits an IV und C.________ übermittelten" Unterlagen in die Verfahrensakten (S. 12 Antrag Ziff. 12). Da sich die Akten der C.________ in den Akten der Beschwerdegegnerin befinden (act. II 25.1- 25.4, 26.1-26.5, 27.1-27.4, 33.1-33.397), erübrigt sich die verlangte Edition. Folglich ist der Beweisantrag abzuweisen (vgl. prozessleitende Verfügung vom 11. Februar 2026 Ziff. 7).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w:t>
      </w:r>
    </w:p>
    <w:p>
      <w:r>
        <w:t>Urteil des Verwaltungsgerichts des Kantons Bern vom 13. Mai 2026, IV 200 2025 877 - 7 -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Mit dieser Regelung sind die bisher ungeschriebenen Rechtsgrundsätze und insbesondere die Rechtsprechung zur Ausschei- dung der invaliditätsfremden Faktoren und zum Zumutbarkeitsprinzip neu ausdrücklich im Gesetz festgehalten (BGE 140 V 197 E. 6.2.1 S. 199, 135 V 215 E. 7.3 S. 230; Botschaft zur 5. IVG-Revision, BBl 2005 4530 ff.). 3.2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3.3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13. Mai 2026, IV 200 2025 877 - 8 - können (BGE 140 V 193 E. 3.2 S. 195, 132 V 93 E. 4 S. 99; SVR 2021 IV Nr. 54 S. 180, 9C_540/2020 E. 2.3). 3.4 3.4.1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Invalidenversicherung [IVV; SR 831.201]). Erheblich ist eine Sachver- haltsänderung, wenn angenommen werden kann, der Leistungsanspruch sei begründet, falls sich die geltend gemachten Umstände als richtig erwei- sen sollten (vgl. BGE 149 V 177 E. 4.7 S. 184). Diese Eintretensvorausset- zung soll verhindern, dass sich die Verwaltung immer wieder mit gleichlau- tenden und nicht näher begründeten, d.h. keine Veränderung des Sachver- halts darlegenden Rentengesuchen befassen muss (BGE 133 V 108 E. 5.3.1 S. 112; Urteil des Bundesgerichts [BGer] 8C_661/2022 vom 26. Juni 2023 E. 3.6.2, nicht publ. in: BGE 149 V 177, aber in: SVR 2023 IV Nr. 52 S. 177). 3.4.2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Urteil des BGer 8C_104/2024 vom 22. Oktober 2024 E. 3.2, nicht publ. in: BGE 151 V 66, aber in: SVR 2025 IV Nr. 16 S. 59). 3.4.3 Anlass zur Rentenrevision gibt jede wesentliche Änderung in den tatsächlichen Verhältnissen, die geeignet ist, den Invaliditätsgrad und damit den Rentenanspruch zu beeinflussen. Die Invalidenrente ist deshalb nicht</w:t>
      </w:r>
    </w:p>
    <w:p>
      <w:r>
        <w:t>Urteil des Verwaltungsgerichts des Kantons Bern vom 13. Mai 2026, IV 200 2025 877 - 9 -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147 V 167 E. 4.1 S. 169, 144 I 103 E. 2.1 S. 105, 141 V 9 E. 2.3 S. 10; SVR 2025 IV Nr. 34 S. 129, 8C_235/2024 E. 4, 2021 IV Nr. 36 S. 109, 8C_280/2020 E. 3.1). 3.4.4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4. 4.1 Fest steht, dass die Beschwerdegegnerin auf die Neuanmeldung von Juli 2025 (act. II 1) eingetreten ist und den Rentenanspruch mit der angefochtenen Verfügung vom 11. November 2025 (act. II 45) materiell geprüft hat. Die Eintretensfrage ist – da nicht streitig – vom Gericht nicht zu beurteilen (BGE 109 V 108 E. 2b S. 114). Indes ist zu prüfen, ob im mass- gebenden Vergleichszeitraum zwischen der Verfügung vom 9. September 2021 (act. II 6.19) und der angefochtenen Verfügung vom 11. November</w:t>
      </w:r>
    </w:p>
    <w:p>
      <w:r>
        <w:t>Urteil des Verwaltungsgerichts des Kantons Bern vom 13. Mai 2026, IV 200 2025 877 - 10 - 2025 (act. II 45) eine Veränderung in den tatsächlichen Verhältnissen ein- getreten ist, die geeignet ist, den Invaliditätsgrad in einer für den Leis- tungsanspruch erheblichen Weise zu beeinflussen. Erst wenn dies zu beja- hen ist, ist der Rentenanspruch frei zu prüfen (vgl. E. 3.4.4 f. hiervor). 4.2 In medizinischer Hinsicht erging die Verfügung vom 9. September 2021 (act. II 6.19) gestützt auf das polydisziplinäre Gutachten der MEDAS vom 4. September 2020 (act. II 6.76). Die Gutachter aus den Fachberei- chen Chirurgie, Allgemeine Innere Medizin, Psychiatrie und Urologie stell- ten keine Diagnosen mit Auswirkung auf die Arbeitsfähigkeit (act. II 6.76/71 Ziff. 6, /87 Ziff. 6, /104 Ziff. 6, /114 Ziff. 7.4, /116 Ziff. 4.2). Sie führten aus, der Versicherte sei in der Lage, die Mehrzahl aller Tätigkeiten auf dem all- gemeinen Arbeitsmarkt zu bewältigen. Ausgeschlossen seien lediglich sämtliche Arbeiten mit einer aussergewöhnlichen nervlichen Belastung, d.h. unter Wechsel- und Nachtschichtbedingungen, unter Akkordbedingun- gen oder mit regelmässigem Publikumsverkehr (act. II 6.76/11 Ziff. 4.5). Die Arbeitsfähigkeit betrage sowohl in der bisherigen wie auch in einer lei- densangepassten Tätigkeit 100 % (act. II 6.76/22 Ziff. 4.7 f.). 4.3 In der angefochtenen Verfügung vom 11. November 2025 (act. II 45) führte die Beschwerdegegnerin u.a. aus, die "Abklärungen, ge- stützt auf die Ergebnisse der C.________" hätten ergeben, dass dem Be- schwerdeführer eine angepasste Tätigkeit in vollem Pensum und ohne zu- sätzliche Leistungsminderung zumutbar sei. Dabei bezieht sich die Be- schwerdegegnerin offensichtlich auf die Beurteilungen durch die C.________ Versicherungsmedizin Mitte vom 20. Januar 2025 (act. II 33.76) und vom 25. März 2025 (act. II 33.47). Im Bericht vom 20. Januar 2025 (act. II 33.76) erwähnte Dr. med. D.________, Facharzt für Orthopädische Chirurgie und Traumatologie des Bewegungsapparates, die folgenden Diagnosen: Unfallkausal: - Status nach Raffung des Ligamentum patellae am 23.10.2023 bei - Status nach Teilruptur mit Elongation bei - Kniegelenksdistorsion und -kontusion am 18.10.2023 (richtig: am 17.10.2023 [act. II 33.387]) - Status nach Kniedistorsion ohne richtunggebende strukturelle Läsionen 2017 - Status nach Thoraxkontusion dorsal bei Verhebetrauma 2012</w:t>
      </w:r>
    </w:p>
    <w:p>
      <w:r>
        <w:t>Urteil des Verwaltungsgerichts des Kantons Bern vom 13. Mai 2026, IV 200 2025 877 - 11 - Unfallfremd: - Mässige femoropatellare Dysplasie rechts - Überwiegend wahrscheinlich Status nach Patella(sub)luxation rechts mit Ruptur des medialen patellofemoralen Ligaments - Fortgeschrittene femoropatellare Arthrose mit Chondropathie Grad IV - Überwiegend wahrscheinlich Patella alta beidseits (angeboren) - Vorbestehende linksseitige Diskusprotrusion auf Höhe BWK 5/6 sowie BWK 7/8 ohne Spinalkanalstenose oder foraminale Enge - Vorbestehende Costovertebralarthrose BWK 6/7 sowie BWK 9/10 links - Frakturausschluss an der Brustwirbelsäule mittels CT und MRI der BWS am 22.01.2013 Der C.________-Arzt führte aus, der Versicherte berichte, 2017 habe er sich bei einem Sturz auf der Strasse das rechte Kniegelenk und das rechte Handgelenk verletzt. Am Handgelenk sei er zweimal operiert worden, dabei sei es zu einer Verletzung des Plexus axillaris im Rahmen der Anästhesie gekommen. Davon habe er sich nie vollständig erholt und es bestünden weiterhin Schmerzen im rechten Arm. Das rechte Kniegelenk bereite seit- her auch anhaltende Beschwerden. 2023 sei es dann zu einem Sturz – wiederum mit Beteiligung des rechten Kniegelenks – gekommen. Dem Ver- sicherten sei erklärt worden, dass es sich bei den Schäden am rechten Kniegelenk nicht ausschliesslich um Unfallschäden handle, sondern nur der Schaden am Ligamentum patellae als unfallkausal einzustufen sei. Das rechte Kniegelenk weise hochgradige nicht unfallkausale Schäden auf. Es sei nicht davon auszugehen, dass eine nochmalige Raffung des Ligamen- tum patellae angesichts der nicht unfallkausalen degenerativen Schäden zu einer namhaften Besserung des derzeitigen Gesundheitszustandes führen werde. Die Implantation einer Knieprothese sei überwiegend wahrschein- lich angezeigt. Der Versicherte sei jedoch dafür noch zu jung. Es bleibe festzuhalten, dass die Unfallfolgen aus dem Ereignis von 2017 als ausge- heilt zu gelten hätten. Eine dorsolaterale Rotationsinstabilität des rechten Kniegelenks sei bei der aktuellen Untersuchung nicht zu objektivieren ge- wesen. Auch Kniebinnenschäden aus diesem Ereignis hätten nicht vorge- legen. Aus dem Ereignis von 2023 resultiere eine Teilruptur mit Elongation des Ligamentum patellae und nachfolgender operativer Raffung desselben. Hier sei es allerdings überwiegend wahrscheinlich zu einer erneuten Elon- gation gekommen, die als Folge aus dem Ereignis anzusehen sei. Im Übri- gen seien keine richtunggebenden strukturellen Unfallfolgen objektiviert.</w:t>
      </w:r>
    </w:p>
    <w:p>
      <w:r>
        <w:t>Urteil des Verwaltungsgerichts des Kantons Bern vom 13. Mai 2026, IV 200 2025 877 - 12 - Im Bericht vom 25. März 2025 (act. II 33.47) gab Dr. med. D.________ an, ohne eine vertiefte fachärztliche Untersuchung in der Schweiz – welche der Versicherte abgelehnt habe – und gegebenenfalls erneuter Operation kön- ne nicht mit überwiegender Wahrscheinlichkeit eine Besserung des Ge- sundheitszustandes am rechten Kniegelenk erwartet werden. Das beste- hende definitive Zumutbarkeitsprofil aus dem Jahr 2019 (vgl. dazu act. II 6.133/5) sei zu modifizieren. Der Versicherte sei noch in der Lage, eine leichte körperliche Tätigkeit vorwiegend sitzend mit seltenem Gehen und Stehen zu verrichten. Das Besteigen von Treppen, Leitern und Gerüs- ten wie auch Arbeiten in unebenem oder abschüssigem Gelände seien zu vermeiden. Auch Zwangshaltungen für das rechte Kniegelenk könnten nicht eingenommen werden. Tätigkeiten, die das Bedienen von Pedalen an gefährlichen Maschinen erforderten, seien zu vermeiden. Die Fahrtüchtig- keit sei aufgrund dessen, dass das rechte Kniegelenk betroffen sei, gege- benenfalls zu überprüfen. Unter den genannten Voraussetzungen sei ein ganztägiger Arbeitseinsatz zu erwarten. 4.4 Die hiervor wiedergegeben Berichte aus dem Zweig der Unfallver- sicherung – gestützt auf welche die C.________ dem Beschwerdeführer eine Invalidenrente in der Höhe von 15 % zusprach (act. II 33.40) – genü- gen für die Beurteilung der Arbeitsfähigkeit bzw. des Rentenanspruchs in der final konzipierten Invalidenversicherung (vgl. BGE 124 V 174 E. 3b S. 178) nicht. Dr. med. D.________ stellte auf seinem Fachgebiet gestützt auf die Untersuchung vom 14. Januar 2025 sowie die Vorakten verschiedene Diagnosen betreffend das rechte Kniegelenk, für welche er eine natürliche Kausalität (vgl. dazu BGE 147 V 161 E. 3.2 S. 163; SVR 2023 UV Nr. 39 S. 139, 8C_305/2022 E. 3.1) zu den Ereignissen vom 21. Juni 2017 (vgl. act. II 6.537) und 17. Oktober 2023 (vgl. act. II 33.387) bejahte. Dane- ben qualifizierte er weitere Diagnosen im Zusammenhang mit Gesund- heitsschäden im rechten Knie als unfallfremd. Dr. med. D.________ modifi- zierte das im Jahr 2019 vom C.________-Arzt Dr. med. E.________, Facharzt für Orthopädische Chirurgie und Traumatologie des Bewegungs- apparates, formulierte Zumutbarkeitsprofil (act. II 6.133/5) dahingehend, als dem Beschwerdeführer statt einer bis mittelschweren wechselbelastenden Tätigkeit nur noch eine leichte, vorwiegend sitzend auszuübende Tätigkeit zumutbar sei (act. II 33.47/2, 33.75/10). Damit mag zwar möglicherweise</w:t>
      </w:r>
    </w:p>
    <w:p>
      <w:r>
        <w:t>Urteil des Verwaltungsgerichts des Kantons Bern vom 13. Mai 2026, IV 200 2025 877 - 13 - zutreffen, dass die unfallfremden Diagnosen keine zusätzliche Einschrän- kung im Zumutbarkeitsprofil bedingen und dieses auch den degenerativen Schäden im rechten Knie Rechnung trägt (vgl. dazu Beschwerdeantwort S. 3). Neben diesen Diagnosen wurden von Dr. med. D.________ allerdings auch weitere unfallfremde Diagnosen betreffend die Brustwirbelsäule (linksseitig Diskusprotrusion auf Höhe BWK 5/6 sowie BWK 7/8, Costover- tebralarthrose BWK 6/7 sowie BWK 9/10 links) gestellt. Zwar konnte eine Fraktur an der Brustwirbelsäule ausgeschlossen werden und es bestanden offenbar weder eine Spinalkanalstenose noch eine foraminale Enge. Es bleibt jedoch offen, ob aus diesen unfallfremden Diagnosen allenfalls eine (zusätzliche) Einschränkung der funktionellen Leistungsfähigkeit resultiert. Dr. med. D.________ hatte sich mit dieser Frage nicht zu befassen, da er sich aufgrund seiner Unfallversicherungsoptik einzig zu den Folgen der unfallbedingten Diagnosen zu äussern hatte. Da die Beschwerdegegnerin bezüglich der somatischen Beschwerden weder den Regionalen Ärztlichen Dienst (RAD) einbezog noch anderweitige medizinische Erhebungen traf, sondern einzig auf die Schlussfolgerungen des C.________-Mediziners abstellte, erweist sich der medizinische Sachverhalt soweit die von der C.________ als nicht unfallkausal qualifizierten somatischen Gesundheits- schäden als nicht rechtsgenüglich abgeklärt. Die Beschwerdegegnerin wird entsprechende Abklärungen vorzunehmen haben. 4.5 In psychischer Hinsicht wurde im Gutachten der MEDAS vom 4. September 2020 eine undifferenzierte Somatisierungsstörung (ICD-10: F45.1) diagnostiziert. Dieser wurde keine Auswirkung auf die Arbeitsfähig- keit beigemessen (act. II 6.76/116 Ziff. 4.2). Der Beschwerdeführer macht geltend, sein psychischer Gesundheitszustand habe sich verschlechtert (vgl. Beschwerde S. 1 Ziff. 2.1, S. 5 Ziff. 5.1). Die Beschwerdegegnerin ortete entsprechenden Abklärungsbedarf und forderte den Beschwerdefüh- rer mehrmals erfolglos zur Auskunft über erfolgte Behandlungen und dies- bezüglicher Kontaktdaten auf (act. II 11, 14, 19 f., 22 f.). Anders als noch die IVSG im Jahr 2021 (act. II 6.30, 6.36) führte sie in diesem Zusammen- hang kein Mahn- und Bedenkzeitverfahren im Sinne von Art. 43 Abs. 3 ATSG durch. Dies schadet jedoch nicht, denn die spezialgesetzliche Be- stimmung von Art. 7b Abs. 2 lit. d IVG, wonach die Leistungen in Abwei- chung von Art. 21 Abs. 4 ATSG ohne Mahn- und Bedenkzeitverfahren</w:t>
      </w:r>
    </w:p>
    <w:p>
      <w:r>
        <w:t>Urteil des Verwaltungsgerichts des Kantons Bern vom 13. Mai 2026, IV 200 2025 877 - 14 - gekürzt oder verweigert werden können, wenn die versicherte Person der IV-Stelle die Auskünfte nicht erteilt, welche diese zur Erfüllung ihrer gesetz- lichen Aufgabe benötigt, geht vor (vgl. RENÉ WIEDERKEHR, in: KIE- SER/KRADOLFER/LENDFERS [Hrsg.], Kommentar zum ATSG, 5. Aufl. 2024, Art. 43 N. 122; JENNY/SCHIAVI, in: FRÉSARD-FELLAY/KLETT/LEUZINGER [Hrsg.], Basler Kommentar zum ATSG, 2. Aufl. 2025, Art. 43 N. 56). Der Vorwurf des Beschwerdeführers, die Beschwerdegegnerin habe im Zu- sammenhang mit den geltend gemachten psychischen Beschwerden den Untersuchungsgrundsatz (Art. 43 Abs. 1 ATSG) verletzt (Beschwerde S. 1 Ziff. 2.1), ist damit unbegründet. Die Folgen der aufgrund der unterlassenen Mitwirkung bestehenden Beweislosigkeit hat folglich grundsätzlich der Be- schwerdeführer zu tragen (vgl. BGE 144 V 427 E. 3.2 S. 429, 138 V 218 E. 6 S. 222, 121 V 204 E. 6a S. 208; SVR 2025 UV Nr. 30 S. 107, 8C_437/2024 E. 6.1). Da die Beschwerdegegnerin weitere Abklärungen der somatischen Be- schwerden und damit verbunden zu den Revisionsvoraussetzungen vorzu- nehmen hat (vgl. E. 4.4 hiervor), nimmt das Verwaltungsverfahren seinen weiteren Verlauf und wird sich der Prüfungszeitraum bis zum Erlass der neuen Verfügung erstrecken (vgl. MEYER/REICHMUTH, Rechtsprechung des Bundesgerichts zum IVG, 4. Aufl. 2022, Art. 30 N. 46). Damit bleibt es dem Beschwerdeführer unbenommen, Beweismittel hinsichtlich der geltend ge- machten psychischen Beschwerden aufzulegen; eine fortwährend unzurei- chende Mitwirkung im Rahmen der weiteren Abklärungen hätte er sich ent- gegenhalten zu lassen. Zudem werden sich allenfalls auch aus der erfor- derlichen Aktualisierung der medizinischen Akten Hinweise auf diesbezüg- liche Diagnosen zeigen, woraus sich gegebenenfalls ein weiterer Ab- klärungsbedarf ergeben wird. 4.6 Nach dem Dargelegten bilden die aktuell vorhandenen Akten keine hinreichend zuverlässige Grundlage für die Beurteilung der medizinischen Situation bzw. deren Auswirkung auf die Arbeitsfähigkeit des Beschwerde- führers. Die Sache ist in Gutheissung der Beschwerde (soweit auf diese einzutreten ist) an die Beschwerdegegnerin zurückzuweisen, damit sie in Nachachtung der Untersuchungsmaxime (Art. 43 Abs. 1 ATSG) den rechtserheblichen Sachverhalt abkläre. Sie wird vorab die medizinische</w:t>
      </w:r>
    </w:p>
    <w:p>
      <w:r>
        <w:t>Urteil des Verwaltungsgerichts des Kantons Bern vom 13. Mai 2026, IV 200 2025 877 - 15 - Aktenlage zu aktualisieren und diese dem RAD zur Beurteilung vorzulegen haben. Dieser wird zu prüfen haben, ob eine Aktenbeurteilung genügt, er gegebenenfalls selbst eine Untersuchung vorzunehmen hat oder aber eine verwaltungsexterne Begutachtung angezeigt ist (vgl. Art. 54a IVG und Art. 49 Abs. 2 IVV; Rz. 3015 des Kreisschreibens des Bundesamts für So- zialversicherungen über das Verfahren der Invalidenversicherung [KSVI]). Danach wird sie erneut über den Rentenanspruch des Beschwerdeführers zu verfügen haben. 5. 5.1 Gemäss Art. 69 Abs. 1bis IVG ist das Beschwerdeverfahren bei Streitigkeiten über IV-Leistungen vor dem kantonalen Versicherungsgericht kostenpflichtig. Die Kosten sind nach dem Verfahrensaufwand und unab- hängig vom Streitwert im Rahmen von Fr. 200.-- bis Fr. 1'000.-- festzule- gen. Wie im Rahmen des (bundesrechtlichen) Anspruchs auf eine Parteien- tschädigung (vgl. BGE 137 V 57 E. 2.1 S. 61), gilt es auch unter dem Ge- sichtspunkt der Verfahrenskosten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Dies gilt unabhängig davon, ob die Rückweisung beantragt oder ob das entspre- chende Begehren im Haupt- oder im Eventualantrag gestellt wird (SVR 2020 KV Nr. 23 S. 107, 9C_805/2019 E. 11.1). Dementsprechend hat die Verfahrenskosten, gerichtlich bestimmt auf Fr. 800.--, bei diesem Aus- gang des Verfahrens die unterliegende Beschwerdegegnerin zu tragen (Art. 108 Abs. 1 VRPG; BVR 2009 S. 186 E. 4). Der vom Beschwerdeführer geleistete Kostenvorschuss von Fr. 800.-- ist ihm nach Eintritt der Rechts- kraft des Urteils zurückzuerstatten. 5.2 Da der Aufwand für die Beschwerdeführung nicht das Mass des- sen überstieg, was dem Einzelnen zur Besorgung eigener Angelegenheiten zugemutet werden darf, hat der anwaltlich nicht vertretene Beschwerdefüh-</w:t>
      </w:r>
    </w:p>
    <w:p>
      <w:r>
        <w:t>Urteil des Verwaltungsgerichts des Kantons Bern vom 13. Mai 2026, IV 200 2025 877 - 16 - rer trotz seines Obsiegens keinen Anspruch auf Ausrichtung einer Parteien- tschädigung (BGE 127 V 205 E. 4b S. 207).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IVG). Da auch die Bestimmungen über Frist (Art. 60 ATSG) sowie Form (Art. 61 lit. b ATSG; Art. 81 Abs. 1 i.V.m. Art. 32 des kantonalen Gesetzes vom 23. Mai 1989 über die Verwaltungsrechts- pflege [VRPG; BSG 155.21]) eingehalten sind, ist auf die Beschwerde – unter Vorbehalt der nachstehenden Erwägung – einzutreten.</w:t>
      </w:r>
    </w:p>
    <w:p>
      <w:r>
        <w:t>Urteil des Verwaltungsgerichts des Kantons Bern vom 13. Mai 2026, IV 200 2025 877 - 6 -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